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spacing w:after="80" w:line="276" w:lineRule="auto"/>
      </w:pPr>
      <w:r>
        <w:rPr>
          <w:b/>
          <w:rFonts w:ascii="Calibri" w:hAnsi="Calibri"/>
          <w:sz w:val="22"/>
        </w:rPr>
        <w:t xml:space="preserve">[AGENCY NAME] ARTIFICIAL INTELLIGENCE (AI) GOVERNANCE POLICY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/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Version: [1.0]    Effective date: [DATE]    Policy owner: [NAME, TITLE]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Next review date: [DATE, no more than six months after the effective date]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/>
      </w:r>
    </w:p>
    <w:p>
      <w:pPr>
        <w:spacing w:after="80" w:line="276" w:lineRule="auto"/>
      </w:pPr>
      <w:r>
        <w:rPr>
          <w:b/>
          <w:rFonts w:ascii="Calibri" w:hAnsi="Calibri"/>
          <w:sz w:val="22"/>
        </w:rPr>
        <w:t xml:space="preserve">1. PURPOSE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This policy explains how [Agency Name] staff may use artificial intelligence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tools in their work. Its goals are to protect client, carrier and agency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information, to meet our legal and contractual duties, and to make sure a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qualified person stays responsible for every piece of advice and every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document we send.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/>
      </w:r>
    </w:p>
    <w:p>
      <w:pPr>
        <w:spacing w:after="80" w:line="276" w:lineRule="auto"/>
      </w:pPr>
      <w:r>
        <w:rPr>
          <w:b/>
          <w:rFonts w:ascii="Calibri" w:hAnsi="Calibri"/>
          <w:sz w:val="22"/>
        </w:rPr>
        <w:t xml:space="preserve">2. SCOPE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This policy applies to every employee, producer, contractor and intern who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does work for [Agency Name], on any device, whether owned by the agency or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personally owned. It covers chat assistants, writing and summarizing tools,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AI features built into agency software (such as the agency management system,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email, CRM, quoting and enrollment platforms), meeting note-takers, and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browser extensions.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/>
      </w:r>
    </w:p>
    <w:p>
      <w:pPr>
        <w:spacing w:after="80" w:line="276" w:lineRule="auto"/>
      </w:pPr>
      <w:r>
        <w:rPr>
          <w:b/>
          <w:rFonts w:ascii="Calibri" w:hAnsi="Calibri"/>
          <w:sz w:val="22"/>
        </w:rPr>
        <w:t xml:space="preserve">3. DEFINITIONS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- "AI tool" means any software that generates text, images, code, summaries,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or analysis from a prompt or from data it is given.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- "Approved AI tool" means a tool listed in Appendix A, used through an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account that the agency controls.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- "Restricted data" means the information listed in Section 5.3.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- "Output" means anything an AI tool produces.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/>
      </w:r>
    </w:p>
    <w:p>
      <w:pPr>
        <w:spacing w:after="80" w:line="276" w:lineRule="auto"/>
      </w:pPr>
      <w:r>
        <w:rPr>
          <w:b/>
          <w:rFonts w:ascii="Calibri" w:hAnsi="Calibri"/>
          <w:sz w:val="22"/>
        </w:rPr>
        <w:t xml:space="preserve">4. APPROVED TOOLS AND ACCOUNTS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4.1 Staff may use only the AI tools listed in Appendix A for agency work.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4.2 Agency work must be done in agency-controlled business accounts, never in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personal or free consumer accounts.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4.3 Approved tools must be configured so that agency data is not used to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improve the vendor's models, and data retention must match the settings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recorded in Appendix A.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4.4 Staff may request a new tool from the Policy Owner. A tool is not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approved until it has passed the vendor review in Section 8 and been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added to Appendix A.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4.5 Meeting note-takers may be used only with the consent of every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participant, and recordings that contain restricted data must be stored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and deleted under our records policy.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/>
      </w:r>
    </w:p>
    <w:p>
      <w:pPr>
        <w:spacing w:after="80" w:line="276" w:lineRule="auto"/>
      </w:pPr>
      <w:r>
        <w:rPr>
          <w:b/>
          <w:rFonts w:ascii="Calibri" w:hAnsi="Calibri"/>
          <w:sz w:val="22"/>
        </w:rPr>
        <w:t xml:space="preserve">5. DATA RULES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5.1 Green (allowed in approved tools): public information, agency marketing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content, general insurance and benefits questions, and internal documents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that contain no client data.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5.2 Yellow (allowed only in approved tools and only after masking): client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business names, plan designs, rate exhibits, census files, loss runs,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schedules of insurance and carrier quotes, once individual identifiers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have been removed or replaced with placeholders.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5.3 Red (never entered into any AI tool, including approved tools, unless the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Policy Owner has approved a specific workflow in writing and a business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associate agreement or equivalent contract is in place):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- Social Security numbers, driver's license numbers, passport numbers and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  dates of birth tied to a name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- Protected health information, including diagnoses, claims detail,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  prescriptions and large-claimant reports that identify a person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- Bank account, credit card and payment information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- Usernames, passwords, and access codes for carrier or client systems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- Anything a client or carrier contract says may not be shared with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  third parties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5.4 When in doubt, treat the data as Red and ask the Policy Owner.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/>
      </w:r>
    </w:p>
    <w:p>
      <w:pPr>
        <w:spacing w:after="80" w:line="276" w:lineRule="auto"/>
      </w:pPr>
      <w:r>
        <w:rPr>
          <w:b/>
          <w:rFonts w:ascii="Calibri" w:hAnsi="Calibri"/>
          <w:sz w:val="22"/>
        </w:rPr>
        <w:t xml:space="preserve">6. HUMAN REVIEW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6.1 A qualified staff member must review and approve every output before it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is sent to a client, prospect, carrier or regulator, or used to make a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coverage, eligibility, pricing or claims recommendation.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6.2 Staff must check figures, plan details, coverage terms, and dates against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the source documents. AI tools can produce confident errors.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6.3 AI may not make final decisions about coverage, underwriting, claims,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eligibility or employment.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6.4 The person who sends a document is responsible for its content,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whether or not AI helped draft it.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/>
      </w:r>
    </w:p>
    <w:p>
      <w:pPr>
        <w:spacing w:after="80" w:line="276" w:lineRule="auto"/>
      </w:pPr>
      <w:r>
        <w:rPr>
          <w:b/>
          <w:rFonts w:ascii="Calibri" w:hAnsi="Calibri"/>
          <w:sz w:val="22"/>
        </w:rPr>
        <w:t xml:space="preserve">7. CLIENT TRANSPARENCY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7.1 We will tell clients that we use AI tools to support our work when they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ask, and in our [privacy notice / engagement letter].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7.2 We will honor any client request that their information not be processed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with AI tools.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/>
      </w:r>
    </w:p>
    <w:p>
      <w:pPr>
        <w:spacing w:after="80" w:line="276" w:lineRule="auto"/>
      </w:pPr>
      <w:r>
        <w:rPr>
          <w:b/>
          <w:rFonts w:ascii="Calibri" w:hAnsi="Calibri"/>
          <w:sz w:val="22"/>
        </w:rPr>
        <w:t xml:space="preserve">8. VENDOR REVIEW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Before a tool is approved, the Policy Owner will confirm and record: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- Where data is stored and how long it is kept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- Whether customer data is used to improve the vendor's models, and how to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turn that off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- Whether the vendor will sign a business associate agreement (required for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any workflow that touches PHI) and a data processing agreement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- Security certifications (for example SOC 2 Type II)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- Admin controls, including single sign-on, user removal, and audit logs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- How the vendor reports a security incident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/>
      </w:r>
    </w:p>
    <w:p>
      <w:pPr>
        <w:spacing w:after="80" w:line="276" w:lineRule="auto"/>
      </w:pPr>
      <w:r>
        <w:rPr>
          <w:b/>
          <w:rFonts w:ascii="Calibri" w:hAnsi="Calibri"/>
          <w:sz w:val="22"/>
        </w:rPr>
        <w:t xml:space="preserve">9. REGULATORY ALIGNMENT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This policy is intended to support our obligations under [HIPAA, as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applicable to our benefits work], the Gramm-Leach-Bliley Act, state insurance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data security laws [list applicable states], and our carrier and client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contracts. It is also written to meet the expectations in the NAIC Model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Bulletin: Use of Artificial Intelligence Systems by Insurers (adopted by the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NAIC on December 4, 2023) where a carrier contract or our state's adoption of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that bulletin reaches this agency. The bulletin is addressed to licensed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insurers, not to agencies.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/>
      </w:r>
    </w:p>
    <w:p>
      <w:pPr>
        <w:spacing w:after="80" w:line="276" w:lineRule="auto"/>
      </w:pPr>
      <w:r>
        <w:rPr>
          <w:b/>
          <w:rFonts w:ascii="Calibri" w:hAnsi="Calibri"/>
          <w:sz w:val="22"/>
        </w:rPr>
        <w:t xml:space="preserve">10. INCIDENTS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10.1 Staff must report any suspected misuse, including Red data entered into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 any AI tool or agency data entered into an unapproved tool, to the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 Policy Owner within [24] hours.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10.2 The Policy Owner will assess the incident, contact the vendor to request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 deletion where possible, and follow our incident response plan,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 including any required client, carrier or regulator notice.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10.3 Reporting a mistake promptly will not by itself result in discipline.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/>
      </w:r>
    </w:p>
    <w:p>
      <w:pPr>
        <w:spacing w:after="80" w:line="276" w:lineRule="auto"/>
      </w:pPr>
      <w:r>
        <w:rPr>
          <w:b/>
          <w:rFonts w:ascii="Calibri" w:hAnsi="Calibri"/>
          <w:sz w:val="22"/>
        </w:rPr>
        <w:t xml:space="preserve">11. ONBOARDING AND ACKNOWLEDGMENT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11.1 Every staff member will review this policy with their manager before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     receiving access to an approved tool, and annually after that.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11.2 Every staff member must sign the acknowledgment in Appendix B.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/>
      </w:r>
    </w:p>
    <w:p>
      <w:pPr>
        <w:spacing w:after="80" w:line="276" w:lineRule="auto"/>
      </w:pPr>
      <w:r>
        <w:rPr>
          <w:b/>
          <w:rFonts w:ascii="Calibri" w:hAnsi="Calibri"/>
          <w:sz w:val="22"/>
        </w:rPr>
        <w:t xml:space="preserve">12. ENFORCEMENT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Violations may result in loss of tool access and disciplinary action, up to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and including termination, consistent with our employee handbook.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/>
      </w:r>
    </w:p>
    <w:p>
      <w:pPr>
        <w:spacing w:after="80" w:line="276" w:lineRule="auto"/>
      </w:pPr>
      <w:r>
        <w:rPr>
          <w:b/>
          <w:rFonts w:ascii="Calibri" w:hAnsi="Calibri"/>
          <w:sz w:val="22"/>
        </w:rPr>
        <w:t xml:space="preserve">13. REVIEW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The Policy Owner will review this policy at least every six months, and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whenever we add a tool, change vendors or a relevant law changes.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/>
      </w:r>
    </w:p>
    <w:p>
      <w:pPr>
        <w:spacing w:after="80" w:line="276" w:lineRule="auto"/>
      </w:pPr>
      <w:r>
        <w:rPr>
          <w:b/>
          <w:rFonts w:ascii="Calibri" w:hAnsi="Calibri"/>
          <w:sz w:val="22"/>
        </w:rPr>
        <w:t xml:space="preserve">APPENDIX A: APPROVED AI TOOLS</w:t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1400" w:type="dxa"/>
            <w:shd w:val="clear" w:color="auto" w:fill="E8F6F0"/>
          </w:tcPr>
          <w:p>
            <w:r>
              <w:rPr>
                <w:b/>
                <w:rFonts w:ascii="Calibri" w:hAnsi="Calibri"/>
                <w:sz w:val="18"/>
              </w:rPr>
              <w:t xml:space="preserve">Tool</w:t>
            </w:r>
          </w:p>
        </w:tc>
        <w:tc>
          <w:tcPr>
            <w:tcW w:w="1400" w:type="dxa"/>
            <w:shd w:val="clear" w:color="auto" w:fill="E8F6F0"/>
          </w:tcPr>
          <w:p>
            <w:r>
              <w:rPr>
                <w:b/>
                <w:rFonts w:ascii="Calibri" w:hAnsi="Calibri"/>
                <w:sz w:val="18"/>
              </w:rPr>
              <w:t xml:space="preserve">Account type</w:t>
            </w:r>
          </w:p>
        </w:tc>
        <w:tc>
          <w:tcPr>
            <w:tcW w:w="1400" w:type="dxa"/>
            <w:shd w:val="clear" w:color="auto" w:fill="E8F6F0"/>
          </w:tcPr>
          <w:p>
            <w:r>
              <w:rPr>
                <w:b/>
                <w:rFonts w:ascii="Calibri" w:hAnsi="Calibri"/>
                <w:sz w:val="18"/>
              </w:rPr>
              <w:t xml:space="preserve">Approved uses</w:t>
            </w:r>
          </w:p>
        </w:tc>
        <w:tc>
          <w:tcPr>
            <w:tcW w:w="1400" w:type="dxa"/>
            <w:shd w:val="clear" w:color="auto" w:fill="E8F6F0"/>
          </w:tcPr>
          <w:p>
            <w:r>
              <w:rPr>
                <w:b/>
                <w:rFonts w:ascii="Calibri" w:hAnsi="Calibri"/>
                <w:sz w:val="18"/>
              </w:rPr>
              <w:t xml:space="preserve">Data allowed (Green/Yellow)</w:t>
            </w:r>
          </w:p>
        </w:tc>
        <w:tc>
          <w:tcPr>
            <w:tcW w:w="1400" w:type="dxa"/>
            <w:shd w:val="clear" w:color="auto" w:fill="E8F6F0"/>
          </w:tcPr>
          <w:p>
            <w:r>
              <w:rPr>
                <w:b/>
                <w:rFonts w:ascii="Calibri" w:hAnsi="Calibri"/>
                <w:sz w:val="18"/>
              </w:rPr>
              <w:t xml:space="preserve">Retention setting</w:t>
            </w:r>
          </w:p>
        </w:tc>
        <w:tc>
          <w:tcPr>
            <w:tcW w:w="1400" w:type="dxa"/>
            <w:shd w:val="clear" w:color="auto" w:fill="E8F6F0"/>
          </w:tcPr>
          <w:p>
            <w:r>
              <w:rPr>
                <w:b/>
                <w:rFonts w:ascii="Calibri" w:hAnsi="Calibri"/>
                <w:sz w:val="18"/>
              </w:rPr>
              <w:t xml:space="preserve">BAA signed?</w:t>
            </w:r>
          </w:p>
        </w:tc>
        <w:tc>
          <w:tcPr>
            <w:tcW w:w="1400" w:type="dxa"/>
            <w:shd w:val="clear" w:color="auto" w:fill="E8F6F0"/>
          </w:tcPr>
          <w:p>
            <w:r>
              <w:rPr>
                <w:b/>
                <w:rFonts w:ascii="Calibri" w:hAnsi="Calibri"/>
                <w:sz w:val="18"/>
              </w:rPr>
              <w:t xml:space="preserve">Approved by / date</w:t>
            </w:r>
          </w:p>
        </w:tc>
      </w:tr>
      <w:tr>
        <w:tc>
          <w:tcPr>
            <w:tcW w:w="1400" w:type="dxa"/>
          </w:tcPr>
          <w:p>
            <w:r>
              <w:rPr>
                <w:rFonts w:ascii="Calibri" w:hAnsi="Calibri"/>
                <w:sz w:val="18"/>
              </w:rPr>
              <w:t xml:space="preserve">[ ]</w:t>
            </w:r>
          </w:p>
        </w:tc>
        <w:tc>
          <w:tcPr>
            <w:tcW w:w="1400" w:type="dxa"/>
          </w:tcPr>
          <w:p>
            <w:r>
              <w:rPr>
                <w:rFonts w:ascii="Calibri" w:hAnsi="Calibri"/>
                <w:sz w:val="18"/>
              </w:rPr>
              <w:t xml:space="preserve">[Business]</w:t>
            </w:r>
          </w:p>
        </w:tc>
        <w:tc>
          <w:tcPr>
            <w:tcW w:w="1400" w:type="dxa"/>
          </w:tcPr>
          <w:p>
            <w:r>
              <w:rPr>
                <w:rFonts w:ascii="Calibri" w:hAnsi="Calibri"/>
                <w:sz w:val="18"/>
              </w:rPr>
              <w:t xml:space="preserve">[ ]</w:t>
            </w:r>
          </w:p>
        </w:tc>
        <w:tc>
          <w:tcPr>
            <w:tcW w:w="1400" w:type="dxa"/>
          </w:tcPr>
          <w:p>
            <w:r>
              <w:rPr>
                <w:rFonts w:ascii="Calibri" w:hAnsi="Calibri"/>
                <w:sz w:val="18"/>
              </w:rPr>
              <w:t xml:space="preserve">[ ]</w:t>
            </w:r>
          </w:p>
        </w:tc>
        <w:tc>
          <w:tcPr>
            <w:tcW w:w="1400" w:type="dxa"/>
          </w:tcPr>
          <w:p>
            <w:r>
              <w:rPr>
                <w:rFonts w:ascii="Calibri" w:hAnsi="Calibri"/>
                <w:sz w:val="18"/>
              </w:rPr>
              <w:t xml:space="preserve">[ ]</w:t>
            </w:r>
          </w:p>
        </w:tc>
        <w:tc>
          <w:tcPr>
            <w:tcW w:w="1400" w:type="dxa"/>
          </w:tcPr>
          <w:p>
            <w:r>
              <w:rPr>
                <w:rFonts w:ascii="Calibri" w:hAnsi="Calibri"/>
                <w:sz w:val="18"/>
              </w:rPr>
              <w:t xml:space="preserve">[Y/N]</w:t>
            </w:r>
          </w:p>
        </w:tc>
        <w:tc>
          <w:tcPr>
            <w:tcW w:w="1400" w:type="dxa"/>
          </w:tcPr>
          <w:p>
            <w:r>
              <w:rPr>
                <w:rFonts w:ascii="Calibri" w:hAnsi="Calibri"/>
                <w:sz w:val="18"/>
              </w:rPr>
              <w:t xml:space="preserve">[ ]</w:t>
            </w:r>
          </w:p>
        </w:tc>
      </w:tr>
    </w:tbl>
    <w:p>
      <w:pPr>
        <w:spacing w:after="80" w:line="276" w:lineRule="auto"/>
      </w:pPr>
      <w:r>
        <w:rPr>
          <w:rFonts w:ascii="Calibri" w:hAnsi="Calibri"/>
          <w:sz w:val="22"/>
        </w:rPr>
        <w:t xml:space="preserve"/>
      </w:r>
    </w:p>
    <w:p>
      <w:pPr>
        <w:spacing w:after="80" w:line="276" w:lineRule="auto"/>
      </w:pPr>
      <w:r>
        <w:rPr>
          <w:b/>
          <w:rFonts w:ascii="Calibri" w:hAnsi="Calibri"/>
          <w:sz w:val="22"/>
        </w:rPr>
        <w:t xml:space="preserve">APPENDIX B: STAFF ACKNOWLEDGMENT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I have read the [Agency Name] AI Governance Policy, I understand it, and I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agree to follow it. I understand that Red data must never be entered into an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AI tool and that I am responsible for reviewing any AI output that I send.</w:t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/>
      </w:r>
    </w:p>
    <w:p>
      <w:pPr>
        <w:spacing w:after="80" w:line="276" w:lineRule="auto"/>
      </w:pPr>
      <w:r>
        <w:rPr>
          <w:rFonts w:ascii="Calibri" w:hAnsi="Calibri"/>
          <w:sz w:val="22"/>
        </w:rPr>
        <w:t xml:space="preserve">Name: ____________________   Signature: ____________________   Date: ________</w:t>
      </w:r>
    </w:p>
    <w:sectPr>
      <w:pgSz w:w="12240" w:h="15840"/>
      <w:pgMar w:top="1080" w:right="1080" w:bottom="1080" w:left="108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AI Governance Policy</dc:title>
  <dc:creator>Integrated AI</dc:creator>
  <cp:revision>1</cp:revision>
</cp:coreProperties>
</file>